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ED" w:rsidRDefault="003F1D65">
      <w:pPr>
        <w:spacing w:after="0" w:line="240" w:lineRule="auto"/>
        <w:jc w:val="center"/>
        <w:rPr>
          <w:rFonts w:ascii="Times New Roman" w:eastAsia="Times New Roman" w:hAnsi="Times New Roman" w:cs="Times New Roman"/>
          <w:sz w:val="24"/>
          <w:szCs w:val="24"/>
        </w:rPr>
      </w:pPr>
      <w:proofErr w:type="spellStart"/>
      <w:r>
        <w:rPr>
          <w:rFonts w:eastAsia="Times New Roman" w:cs="Calibri"/>
          <w:b/>
          <w:bCs/>
          <w:color w:val="00000A"/>
          <w:sz w:val="24"/>
          <w:szCs w:val="24"/>
        </w:rPr>
        <w:t>Futex</w:t>
      </w:r>
      <w:proofErr w:type="spellEnd"/>
      <w:r>
        <w:rPr>
          <w:rFonts w:eastAsia="Times New Roman" w:cs="Calibri"/>
          <w:b/>
          <w:bCs/>
          <w:color w:val="00000A"/>
          <w:sz w:val="24"/>
          <w:szCs w:val="24"/>
        </w:rPr>
        <w:t xml:space="preserve"> Taipei 2019 Showcases AI and Electronics Innovations</w:t>
      </w:r>
    </w:p>
    <w:p w:rsidR="00102CED" w:rsidRDefault="003F1D65">
      <w:pPr>
        <w:spacing w:after="0" w:line="240" w:lineRule="auto"/>
        <w:jc w:val="center"/>
        <w:rPr>
          <w:rFonts w:ascii="Times New Roman" w:eastAsia="Times New Roman" w:hAnsi="Times New Roman" w:cs="Times New Roman"/>
          <w:sz w:val="24"/>
          <w:szCs w:val="24"/>
        </w:rPr>
      </w:pPr>
      <w:r>
        <w:rPr>
          <w:rFonts w:eastAsia="Times New Roman" w:cs="Calibri"/>
          <w:i/>
          <w:iCs/>
          <w:color w:val="00000A"/>
          <w:sz w:val="24"/>
          <w:szCs w:val="24"/>
        </w:rPr>
        <w:t xml:space="preserve">Monolithic hybrid type quantum dots, wireless positioning, and </w:t>
      </w:r>
      <w:proofErr w:type="spellStart"/>
      <w:r>
        <w:rPr>
          <w:rFonts w:eastAsia="Times New Roman" w:cs="Calibri"/>
          <w:i/>
          <w:iCs/>
          <w:color w:val="00000A"/>
          <w:sz w:val="24"/>
          <w:szCs w:val="24"/>
        </w:rPr>
        <w:t>AIoT</w:t>
      </w:r>
      <w:proofErr w:type="spellEnd"/>
      <w:r>
        <w:rPr>
          <w:rFonts w:eastAsia="Times New Roman" w:cs="Calibri"/>
          <w:i/>
          <w:iCs/>
          <w:color w:val="00000A"/>
          <w:sz w:val="24"/>
          <w:szCs w:val="24"/>
        </w:rPr>
        <w:t xml:space="preserve"> smart aquaculture management systems</w:t>
      </w:r>
    </w:p>
    <w:p w:rsidR="00102CED" w:rsidRDefault="00102CED">
      <w:pPr>
        <w:spacing w:after="0" w:line="240" w:lineRule="auto"/>
        <w:rPr>
          <w:rFonts w:ascii="Times New Roman" w:eastAsia="Times New Roman" w:hAnsi="Times New Roman" w:cs="Times New Roman"/>
          <w:sz w:val="24"/>
          <w:szCs w:val="24"/>
        </w:rPr>
      </w:pPr>
    </w:p>
    <w:p w:rsidR="00102CED" w:rsidRDefault="003F1D65">
      <w:pPr>
        <w:spacing w:after="0" w:line="240" w:lineRule="auto"/>
      </w:pPr>
      <w:r>
        <w:rPr>
          <w:rFonts w:eastAsia="Times New Roman" w:cs="Calibri"/>
          <w:b/>
          <w:bCs/>
          <w:color w:val="00000A"/>
          <w:sz w:val="24"/>
          <w:szCs w:val="24"/>
        </w:rPr>
        <w:t>October 27</w:t>
      </w:r>
      <w:r>
        <w:rPr>
          <w:rFonts w:eastAsia="Times New Roman" w:cs="Calibri"/>
          <w:b/>
          <w:bCs/>
          <w:color w:val="00000A"/>
          <w:sz w:val="8"/>
          <w:szCs w:val="8"/>
          <w:vertAlign w:val="superscript"/>
        </w:rPr>
        <w:t>th</w:t>
      </w:r>
      <w:r>
        <w:rPr>
          <w:rFonts w:eastAsia="Times New Roman" w:cs="Calibri"/>
          <w:b/>
          <w:bCs/>
          <w:color w:val="00000A"/>
          <w:sz w:val="24"/>
          <w:szCs w:val="24"/>
        </w:rPr>
        <w:t xml:space="preserve"> – Taipei, Taiwan – </w:t>
      </w:r>
      <w:r>
        <w:rPr>
          <w:rFonts w:eastAsia="Times New Roman" w:cs="Calibri"/>
          <w:color w:val="00000A"/>
          <w:sz w:val="24"/>
          <w:szCs w:val="24"/>
        </w:rPr>
        <w:t xml:space="preserve">Imagine improving the micro-light emitting diodes </w:t>
      </w:r>
      <w:proofErr w:type="spellStart"/>
      <w:r>
        <w:rPr>
          <w:rFonts w:eastAsia="Times New Roman" w:cs="Calibri"/>
          <w:color w:val="00000A"/>
          <w:sz w:val="24"/>
          <w:szCs w:val="24"/>
        </w:rPr>
        <w:t>pixelation</w:t>
      </w:r>
      <w:proofErr w:type="spellEnd"/>
      <w:r>
        <w:rPr>
          <w:rFonts w:eastAsia="Times New Roman" w:cs="Calibri"/>
          <w:color w:val="00000A"/>
          <w:sz w:val="24"/>
          <w:szCs w:val="24"/>
        </w:rPr>
        <w:t>. It’s a monolithic hybrid type of quantum dots that offers full-color pixel arrays. This system fabricates nanometer-level etching technology which effectively shifts wavelengths from green to bl</w:t>
      </w:r>
      <w:r>
        <w:rPr>
          <w:rFonts w:eastAsia="Times New Roman" w:cs="Calibri"/>
          <w:color w:val="00000A"/>
          <w:sz w:val="24"/>
          <w:szCs w:val="24"/>
        </w:rPr>
        <w:t>ue.</w:t>
      </w:r>
      <w:r w:rsidRPr="003F1D65">
        <w:rPr>
          <w:rFonts w:eastAsia="Times New Roman" w:cs="Calibri"/>
          <w:sz w:val="24"/>
          <w:szCs w:val="24"/>
        </w:rPr>
        <w:t xml:space="preserve"> </w:t>
      </w:r>
      <w:r w:rsidRPr="003F1D65">
        <w:rPr>
          <w:rFonts w:eastAsia="Times New Roman" w:cs="Calibri"/>
          <w:sz w:val="24"/>
          <w:szCs w:val="24"/>
        </w:rPr>
        <w:t xml:space="preserve">The Green and Smart Agricultural System </w:t>
      </w:r>
      <w:proofErr w:type="gramStart"/>
      <w:r w:rsidRPr="003F1D65">
        <w:rPr>
          <w:rFonts w:eastAsia="Times New Roman" w:cs="Calibri"/>
          <w:sz w:val="24"/>
          <w:szCs w:val="24"/>
        </w:rPr>
        <w:t>applies</w:t>
      </w:r>
      <w:proofErr w:type="gramEnd"/>
      <w:r w:rsidRPr="003F1D65">
        <w:rPr>
          <w:rFonts w:eastAsia="Times New Roman" w:cs="Calibri"/>
          <w:sz w:val="24"/>
          <w:szCs w:val="24"/>
        </w:rPr>
        <w:t xml:space="preserve"> AI to optimize growth and medically functional compound quantity of Chinese Medical plants.  By optimizing fertilization to predicted biosynthesi</w:t>
      </w:r>
      <w:bookmarkStart w:id="0" w:name="_GoBack"/>
      <w:bookmarkEnd w:id="0"/>
      <w:r w:rsidRPr="003F1D65">
        <w:rPr>
          <w:rFonts w:eastAsia="Times New Roman" w:cs="Calibri"/>
          <w:sz w:val="24"/>
          <w:szCs w:val="24"/>
        </w:rPr>
        <w:t>s needs instead of focusing on soil nutrition, the plant gr</w:t>
      </w:r>
      <w:r w:rsidRPr="003F1D65">
        <w:rPr>
          <w:rFonts w:eastAsia="Times New Roman" w:cs="Calibri"/>
          <w:sz w:val="24"/>
          <w:szCs w:val="24"/>
        </w:rPr>
        <w:t>owth time and medical compound concentration was increased significantly.</w:t>
      </w:r>
      <w:r w:rsidRPr="003F1D65">
        <w:rPr>
          <w:rFonts w:eastAsia="Times New Roman" w:cs="Calibri"/>
        </w:rPr>
        <w:t xml:space="preserve"> </w:t>
      </w:r>
      <w:r>
        <w:rPr>
          <w:rFonts w:eastAsia="Times New Roman" w:cs="Calibri"/>
          <w:color w:val="00000A"/>
          <w:sz w:val="24"/>
          <w:szCs w:val="24"/>
        </w:rPr>
        <w:t xml:space="preserve">These are among the new Artificial Intelligence, Electronics and Optoelectronics inventions and research that will soon be unveiled at the </w:t>
      </w:r>
      <w:proofErr w:type="spellStart"/>
      <w:r>
        <w:rPr>
          <w:rFonts w:eastAsia="Times New Roman" w:cs="Calibri"/>
          <w:color w:val="00000A"/>
          <w:sz w:val="24"/>
          <w:szCs w:val="24"/>
        </w:rPr>
        <w:t>Futex</w:t>
      </w:r>
      <w:proofErr w:type="spellEnd"/>
      <w:r>
        <w:rPr>
          <w:rFonts w:eastAsia="Times New Roman" w:cs="Calibri"/>
          <w:color w:val="00000A"/>
          <w:sz w:val="24"/>
          <w:szCs w:val="24"/>
        </w:rPr>
        <w:t xml:space="preserve"> Taipei 2019 exhibition. </w:t>
      </w:r>
      <w:proofErr w:type="spellStart"/>
      <w:r>
        <w:rPr>
          <w:rFonts w:eastAsia="Times New Roman" w:cs="Calibri"/>
          <w:color w:val="00000A"/>
          <w:sz w:val="24"/>
          <w:szCs w:val="24"/>
        </w:rPr>
        <w:t>Futex</w:t>
      </w:r>
      <w:proofErr w:type="spellEnd"/>
      <w:r>
        <w:rPr>
          <w:rFonts w:eastAsia="Times New Roman" w:cs="Calibri"/>
          <w:color w:val="00000A"/>
          <w:sz w:val="24"/>
          <w:szCs w:val="24"/>
        </w:rPr>
        <w:t xml:space="preserve"> Taipei </w:t>
      </w:r>
      <w:r>
        <w:rPr>
          <w:rFonts w:eastAsia="Times New Roman" w:cs="Calibri"/>
          <w:color w:val="00000A"/>
          <w:sz w:val="24"/>
          <w:szCs w:val="24"/>
        </w:rPr>
        <w:t>2019 runs from December 5 to 8, 2019 at the Taipei World Trade Center, Hall 1 in Taipei, Taiwan. The event organizer is the Ministry of Science and Technology (MOST) of Taiwan.</w:t>
      </w:r>
    </w:p>
    <w:p w:rsidR="00102CED" w:rsidRDefault="00102CED">
      <w:pPr>
        <w:spacing w:after="0" w:line="240" w:lineRule="auto"/>
        <w:rPr>
          <w:rFonts w:ascii="Times New Roman" w:eastAsia="Times New Roman" w:hAnsi="Times New Roman" w:cs="Times New Roman"/>
          <w:sz w:val="24"/>
          <w:szCs w:val="24"/>
        </w:rPr>
      </w:pPr>
    </w:p>
    <w:p w:rsidR="00102CED" w:rsidRDefault="003F1D65">
      <w:pPr>
        <w:spacing w:after="0" w:line="240" w:lineRule="auto"/>
        <w:rPr>
          <w:rFonts w:ascii="Calibri" w:eastAsia="Times New Roman" w:hAnsi="Calibri" w:cs="Calibri"/>
          <w:color w:val="00000A"/>
          <w:sz w:val="24"/>
          <w:szCs w:val="24"/>
        </w:rPr>
      </w:pPr>
      <w:proofErr w:type="spellStart"/>
      <w:r>
        <w:rPr>
          <w:rFonts w:eastAsia="Times New Roman" w:cs="Calibri"/>
          <w:color w:val="00000A"/>
          <w:sz w:val="24"/>
          <w:szCs w:val="24"/>
        </w:rPr>
        <w:t>Futex</w:t>
      </w:r>
      <w:proofErr w:type="spellEnd"/>
      <w:r>
        <w:rPr>
          <w:rFonts w:eastAsia="Times New Roman" w:cs="Calibri"/>
          <w:color w:val="00000A"/>
          <w:sz w:val="24"/>
          <w:szCs w:val="24"/>
        </w:rPr>
        <w:t xml:space="preserve"> Taipei 2019 focuses on meeting the needs of innovating tech through AI. </w:t>
      </w:r>
      <w:r>
        <w:rPr>
          <w:rFonts w:eastAsia="Times New Roman" w:cs="Calibri"/>
          <w:color w:val="00000A"/>
          <w:sz w:val="24"/>
          <w:szCs w:val="24"/>
        </w:rPr>
        <w:t>This exhibition lets us learn about cutting edge research that is also practical, and helps ordinary people understand how science could change their lives. In addition, the event acknowledges and rewards the research teams from academia and institutions w</w:t>
      </w:r>
      <w:r>
        <w:rPr>
          <w:rFonts w:eastAsia="Times New Roman" w:cs="Calibri"/>
          <w:color w:val="00000A"/>
          <w:sz w:val="24"/>
          <w:szCs w:val="24"/>
        </w:rPr>
        <w:t xml:space="preserve">ho are building these critical tools and technologies of the near future. </w:t>
      </w:r>
      <w:proofErr w:type="spellStart"/>
      <w:r>
        <w:rPr>
          <w:rFonts w:eastAsia="Times New Roman" w:cs="Calibri"/>
          <w:color w:val="00000A"/>
          <w:sz w:val="24"/>
          <w:szCs w:val="24"/>
        </w:rPr>
        <w:t>Futex</w:t>
      </w:r>
      <w:proofErr w:type="spellEnd"/>
      <w:r>
        <w:rPr>
          <w:rFonts w:eastAsia="Times New Roman" w:cs="Calibri"/>
          <w:color w:val="00000A"/>
          <w:sz w:val="24"/>
          <w:szCs w:val="24"/>
        </w:rPr>
        <w:t xml:space="preserve"> Taipei 2019 will show Taiwan's revolutionary breakthroughs in optoelectronics, electronics and artificial intelligence.</w:t>
      </w:r>
    </w:p>
    <w:p w:rsidR="00102CED" w:rsidRDefault="00102CED">
      <w:pPr>
        <w:spacing w:after="0" w:line="240" w:lineRule="auto"/>
        <w:rPr>
          <w:rFonts w:ascii="Calibri" w:eastAsia="Times New Roman" w:hAnsi="Calibri" w:cs="Calibri"/>
          <w:color w:val="00000A"/>
          <w:sz w:val="24"/>
          <w:szCs w:val="24"/>
        </w:rPr>
      </w:pPr>
    </w:p>
    <w:p w:rsidR="00102CED" w:rsidRDefault="003F1D65">
      <w:pPr>
        <w:spacing w:after="0" w:line="240" w:lineRule="auto"/>
      </w:pPr>
      <w:r>
        <w:rPr>
          <w:rFonts w:eastAsia="Times New Roman" w:cs="Calibri"/>
          <w:color w:val="000000"/>
          <w:sz w:val="24"/>
          <w:szCs w:val="24"/>
        </w:rPr>
        <w:t>According to the World Economic Forum’s Global Competit</w:t>
      </w:r>
      <w:r>
        <w:rPr>
          <w:rFonts w:eastAsia="Times New Roman" w:cs="Calibri"/>
          <w:color w:val="000000"/>
          <w:sz w:val="24"/>
          <w:szCs w:val="24"/>
        </w:rPr>
        <w:t>iveness Report for 2019, in the "Innovation capability" category, Taiwan ranks fourth globally for the key competitive attribute behind Germany, the United States, and Switzerland. It claimed 12</w:t>
      </w:r>
      <w:r>
        <w:rPr>
          <w:rFonts w:eastAsia="Times New Roman" w:cs="Calibri"/>
          <w:color w:val="000000"/>
          <w:sz w:val="14"/>
          <w:szCs w:val="14"/>
          <w:vertAlign w:val="superscript"/>
        </w:rPr>
        <w:t>th</w:t>
      </w:r>
      <w:r>
        <w:rPr>
          <w:rFonts w:eastAsia="Times New Roman" w:cs="Calibri"/>
          <w:color w:val="000000"/>
          <w:sz w:val="24"/>
          <w:szCs w:val="24"/>
        </w:rPr>
        <w:t xml:space="preserve"> place out of 141 economies overall.</w:t>
      </w:r>
    </w:p>
    <w:p w:rsidR="00102CED" w:rsidRDefault="00102CED">
      <w:pPr>
        <w:spacing w:after="0" w:line="240" w:lineRule="auto"/>
        <w:rPr>
          <w:rFonts w:ascii="Times New Roman" w:eastAsia="Times New Roman" w:hAnsi="Times New Roman" w:cs="Times New Roman"/>
          <w:sz w:val="24"/>
          <w:szCs w:val="24"/>
        </w:rPr>
      </w:pPr>
    </w:p>
    <w:p w:rsidR="00102CED" w:rsidRDefault="003F1D65">
      <w:pPr>
        <w:spacing w:after="0" w:line="240" w:lineRule="auto"/>
        <w:rPr>
          <w:rFonts w:ascii="Times New Roman" w:eastAsia="Times New Roman" w:hAnsi="Times New Roman" w:cs="Times New Roman"/>
          <w:sz w:val="24"/>
          <w:szCs w:val="24"/>
        </w:rPr>
      </w:pPr>
      <w:r>
        <w:rPr>
          <w:rFonts w:eastAsia="Times New Roman" w:cs="Calibri"/>
          <w:b/>
          <w:bCs/>
          <w:color w:val="00000A"/>
          <w:sz w:val="24"/>
          <w:szCs w:val="24"/>
        </w:rPr>
        <w:t>Tomorrow’s ideas today</w:t>
      </w:r>
      <w:r>
        <w:rPr>
          <w:rFonts w:eastAsia="Times New Roman" w:cs="Calibri"/>
          <w:b/>
          <w:bCs/>
          <w:color w:val="00000A"/>
          <w:sz w:val="24"/>
          <w:szCs w:val="24"/>
        </w:rPr>
        <w:t>: SST-MRAM, Smart Aquaculture, Wireless Positioning and Tracking</w:t>
      </w:r>
    </w:p>
    <w:p w:rsidR="00102CED" w:rsidRDefault="00102CED">
      <w:pPr>
        <w:spacing w:after="0" w:line="240" w:lineRule="auto"/>
        <w:rPr>
          <w:rFonts w:ascii="Times New Roman" w:eastAsia="Times New Roman" w:hAnsi="Times New Roman" w:cs="Times New Roman"/>
          <w:sz w:val="24"/>
          <w:szCs w:val="24"/>
        </w:rPr>
      </w:pPr>
    </w:p>
    <w:p w:rsidR="00102CED" w:rsidRDefault="003F1D65">
      <w:pPr>
        <w:spacing w:after="0" w:line="240" w:lineRule="auto"/>
        <w:rPr>
          <w:rFonts w:ascii="Times New Roman" w:eastAsia="Times New Roman" w:hAnsi="Times New Roman" w:cs="Times New Roman"/>
          <w:sz w:val="24"/>
          <w:szCs w:val="24"/>
        </w:rPr>
      </w:pPr>
      <w:r>
        <w:rPr>
          <w:rFonts w:eastAsia="Times New Roman" w:cs="Calibri"/>
          <w:color w:val="00000A"/>
          <w:sz w:val="24"/>
          <w:szCs w:val="24"/>
        </w:rPr>
        <w:t>Researchers at National Tsing Hua University have been working on SST-MRAM. A sophisticated mechanism was created by a team working to improve semiconductor processing. The process boosts sw</w:t>
      </w:r>
      <w:r>
        <w:rPr>
          <w:rFonts w:eastAsia="Times New Roman" w:cs="Calibri"/>
          <w:color w:val="00000A"/>
          <w:sz w:val="24"/>
          <w:szCs w:val="24"/>
        </w:rPr>
        <w:t>itching efficiency, create data failure data analysis records to increase the life of the device. The proposal aims to integrate all research resources with regards to MRAM and encourages MRAM research.</w:t>
      </w:r>
    </w:p>
    <w:p w:rsidR="00102CED" w:rsidRDefault="00102CED">
      <w:pPr>
        <w:spacing w:after="0" w:line="240" w:lineRule="auto"/>
        <w:rPr>
          <w:rFonts w:ascii="Times New Roman" w:eastAsia="Times New Roman" w:hAnsi="Times New Roman" w:cs="Times New Roman"/>
          <w:sz w:val="24"/>
          <w:szCs w:val="24"/>
        </w:rPr>
      </w:pPr>
    </w:p>
    <w:p w:rsidR="00102CED" w:rsidRDefault="003F1D65">
      <w:pPr>
        <w:spacing w:after="0" w:line="240" w:lineRule="auto"/>
        <w:rPr>
          <w:rFonts w:ascii="Times New Roman" w:eastAsia="Times New Roman" w:hAnsi="Times New Roman" w:cs="Times New Roman"/>
          <w:sz w:val="24"/>
          <w:szCs w:val="24"/>
        </w:rPr>
      </w:pPr>
      <w:r>
        <w:rPr>
          <w:rFonts w:eastAsia="Times New Roman" w:cs="Calibri"/>
          <w:color w:val="00000A"/>
          <w:sz w:val="24"/>
          <w:szCs w:val="24"/>
        </w:rPr>
        <w:t>At the National Taiwan Ocean University, the team cr</w:t>
      </w:r>
      <w:r>
        <w:rPr>
          <w:rFonts w:eastAsia="Times New Roman" w:cs="Calibri"/>
          <w:color w:val="00000A"/>
          <w:sz w:val="24"/>
          <w:szCs w:val="24"/>
        </w:rPr>
        <w:t xml:space="preserve">eated an </w:t>
      </w:r>
      <w:proofErr w:type="spellStart"/>
      <w:r>
        <w:rPr>
          <w:rFonts w:eastAsia="Times New Roman" w:cs="Calibri"/>
          <w:color w:val="00000A"/>
          <w:sz w:val="24"/>
          <w:szCs w:val="24"/>
        </w:rPr>
        <w:t>AIoT</w:t>
      </w:r>
      <w:proofErr w:type="spellEnd"/>
      <w:r>
        <w:rPr>
          <w:rFonts w:eastAsia="Times New Roman" w:cs="Calibri"/>
          <w:color w:val="00000A"/>
          <w:sz w:val="24"/>
          <w:szCs w:val="24"/>
        </w:rPr>
        <w:t xml:space="preserve"> smart aquaculture management system. AI is used to optimize aquaculture management system to reduce the cost of feeding, reduce energy consumption and increase production. The concept is also to track the trajectory of fish and monitor for ab</w:t>
      </w:r>
      <w:r>
        <w:rPr>
          <w:rFonts w:eastAsia="Times New Roman" w:cs="Calibri"/>
          <w:color w:val="00000A"/>
          <w:sz w:val="24"/>
          <w:szCs w:val="24"/>
        </w:rPr>
        <w:t>normal behavior.</w:t>
      </w:r>
    </w:p>
    <w:p w:rsidR="00102CED" w:rsidRDefault="00102CED">
      <w:pPr>
        <w:spacing w:after="0" w:line="240" w:lineRule="auto"/>
        <w:rPr>
          <w:rFonts w:ascii="Times New Roman" w:eastAsia="Times New Roman" w:hAnsi="Times New Roman" w:cs="Times New Roman"/>
          <w:sz w:val="24"/>
          <w:szCs w:val="24"/>
        </w:rPr>
      </w:pPr>
    </w:p>
    <w:p w:rsidR="00102CED" w:rsidRDefault="003F1D65">
      <w:pPr>
        <w:spacing w:after="0" w:line="240" w:lineRule="auto"/>
        <w:rPr>
          <w:rFonts w:ascii="Times New Roman" w:eastAsia="Times New Roman" w:hAnsi="Times New Roman" w:cs="Times New Roman"/>
          <w:sz w:val="24"/>
          <w:szCs w:val="24"/>
        </w:rPr>
      </w:pPr>
      <w:r>
        <w:rPr>
          <w:rFonts w:eastAsia="Times New Roman" w:cs="Calibri"/>
          <w:color w:val="00000A"/>
          <w:sz w:val="24"/>
          <w:szCs w:val="24"/>
        </w:rPr>
        <w:t xml:space="preserve">National Tsing Hua University also showcases a biomedical </w:t>
      </w:r>
      <w:proofErr w:type="spellStart"/>
      <w:r>
        <w:rPr>
          <w:rFonts w:eastAsia="Times New Roman" w:cs="Calibri"/>
          <w:color w:val="00000A"/>
          <w:sz w:val="24"/>
          <w:szCs w:val="24"/>
        </w:rPr>
        <w:t>theragnostic</w:t>
      </w:r>
      <w:proofErr w:type="spellEnd"/>
      <w:r>
        <w:rPr>
          <w:rFonts w:eastAsia="Times New Roman" w:cs="Calibri"/>
          <w:color w:val="00000A"/>
          <w:sz w:val="24"/>
          <w:szCs w:val="24"/>
        </w:rPr>
        <w:t xml:space="preserve"> chip for neural disorders. It functions as an implantable device to treat Parkinson’s disease, depression, </w:t>
      </w:r>
      <w:r>
        <w:rPr>
          <w:rFonts w:eastAsia="Times New Roman" w:cs="Calibri"/>
          <w:color w:val="00000A"/>
          <w:sz w:val="24"/>
          <w:szCs w:val="24"/>
        </w:rPr>
        <w:lastRenderedPageBreak/>
        <w:t>dementia, and monitor physiological signals. This device can</w:t>
      </w:r>
      <w:r>
        <w:rPr>
          <w:rFonts w:eastAsia="Times New Roman" w:cs="Calibri"/>
          <w:color w:val="00000A"/>
          <w:sz w:val="24"/>
          <w:szCs w:val="24"/>
        </w:rPr>
        <w:t xml:space="preserve"> accelerate pre-clinical data collection and verification.</w:t>
      </w:r>
    </w:p>
    <w:p w:rsidR="00102CED" w:rsidRDefault="00102CED">
      <w:pPr>
        <w:spacing w:after="0" w:line="240" w:lineRule="auto"/>
        <w:rPr>
          <w:rFonts w:ascii="Times New Roman" w:eastAsia="Times New Roman" w:hAnsi="Times New Roman" w:cs="Times New Roman"/>
          <w:sz w:val="24"/>
          <w:szCs w:val="24"/>
        </w:rPr>
      </w:pPr>
    </w:p>
    <w:p w:rsidR="00102CED" w:rsidRDefault="003F1D65">
      <w:pPr>
        <w:spacing w:after="0" w:line="240" w:lineRule="auto"/>
        <w:rPr>
          <w:rFonts w:ascii="Times New Roman" w:eastAsia="Times New Roman" w:hAnsi="Times New Roman" w:cs="Times New Roman"/>
          <w:sz w:val="24"/>
          <w:szCs w:val="24"/>
        </w:rPr>
      </w:pPr>
      <w:r>
        <w:rPr>
          <w:rFonts w:eastAsia="Times New Roman" w:cs="Calibri"/>
          <w:color w:val="00000A"/>
          <w:sz w:val="24"/>
          <w:szCs w:val="24"/>
        </w:rPr>
        <w:t xml:space="preserve">Learn more about </w:t>
      </w:r>
      <w:proofErr w:type="spellStart"/>
      <w:r>
        <w:rPr>
          <w:rFonts w:eastAsia="Times New Roman" w:cs="Calibri"/>
          <w:color w:val="00000A"/>
          <w:sz w:val="24"/>
          <w:szCs w:val="24"/>
        </w:rPr>
        <w:t>Futex</w:t>
      </w:r>
      <w:proofErr w:type="spellEnd"/>
      <w:r>
        <w:rPr>
          <w:rFonts w:eastAsia="Times New Roman" w:cs="Calibri"/>
          <w:color w:val="00000A"/>
          <w:sz w:val="24"/>
          <w:szCs w:val="24"/>
        </w:rPr>
        <w:t xml:space="preserve"> Taipei 2019 at: www.futuretech.org.tw</w:t>
      </w:r>
    </w:p>
    <w:p w:rsidR="00102CED" w:rsidRDefault="00102CED">
      <w:pPr>
        <w:spacing w:after="0" w:line="240" w:lineRule="auto"/>
        <w:rPr>
          <w:rFonts w:ascii="Times New Roman" w:eastAsia="Times New Roman" w:hAnsi="Times New Roman" w:cs="Times New Roman"/>
          <w:sz w:val="24"/>
          <w:szCs w:val="24"/>
        </w:rPr>
      </w:pPr>
    </w:p>
    <w:p w:rsidR="00102CED" w:rsidRDefault="003F1D65">
      <w:pPr>
        <w:spacing w:after="0" w:line="240" w:lineRule="auto"/>
        <w:rPr>
          <w:rFonts w:ascii="Times New Roman" w:eastAsia="Times New Roman" w:hAnsi="Times New Roman" w:cs="Times New Roman"/>
          <w:sz w:val="24"/>
          <w:szCs w:val="24"/>
        </w:rPr>
      </w:pPr>
      <w:r>
        <w:rPr>
          <w:rFonts w:eastAsia="Times New Roman" w:cs="Calibri"/>
          <w:b/>
          <w:bCs/>
          <w:color w:val="00000A"/>
          <w:sz w:val="24"/>
          <w:szCs w:val="24"/>
        </w:rPr>
        <w:t xml:space="preserve">About </w:t>
      </w:r>
      <w:proofErr w:type="spellStart"/>
      <w:r>
        <w:rPr>
          <w:rFonts w:eastAsia="Times New Roman" w:cs="Calibri"/>
          <w:b/>
          <w:bCs/>
          <w:color w:val="00000A"/>
          <w:sz w:val="24"/>
          <w:szCs w:val="24"/>
        </w:rPr>
        <w:t>Futex</w:t>
      </w:r>
      <w:proofErr w:type="spellEnd"/>
      <w:r>
        <w:rPr>
          <w:rFonts w:eastAsia="Times New Roman" w:cs="Calibri"/>
          <w:b/>
          <w:bCs/>
          <w:color w:val="00000A"/>
          <w:sz w:val="24"/>
          <w:szCs w:val="24"/>
        </w:rPr>
        <w:t xml:space="preserve"> Taipei 2019</w:t>
      </w:r>
    </w:p>
    <w:p w:rsidR="00102CED" w:rsidRDefault="00102CED">
      <w:pPr>
        <w:spacing w:after="0" w:line="240" w:lineRule="auto"/>
        <w:rPr>
          <w:rFonts w:ascii="Times New Roman" w:eastAsia="Times New Roman" w:hAnsi="Times New Roman" w:cs="Times New Roman"/>
          <w:sz w:val="24"/>
          <w:szCs w:val="24"/>
        </w:rPr>
      </w:pPr>
    </w:p>
    <w:p w:rsidR="00102CED" w:rsidRDefault="003F1D65">
      <w:pPr>
        <w:spacing w:after="0" w:line="240" w:lineRule="auto"/>
        <w:rPr>
          <w:rFonts w:ascii="Times New Roman" w:eastAsia="Times New Roman" w:hAnsi="Times New Roman" w:cs="Times New Roman"/>
          <w:sz w:val="24"/>
          <w:szCs w:val="24"/>
        </w:rPr>
      </w:pPr>
      <w:proofErr w:type="spellStart"/>
      <w:r>
        <w:rPr>
          <w:rFonts w:eastAsia="Times New Roman" w:cs="Calibri"/>
          <w:color w:val="00000A"/>
          <w:sz w:val="24"/>
          <w:szCs w:val="24"/>
        </w:rPr>
        <w:t>Futex</w:t>
      </w:r>
      <w:proofErr w:type="spellEnd"/>
      <w:r>
        <w:rPr>
          <w:rFonts w:eastAsia="Times New Roman" w:cs="Calibri"/>
          <w:color w:val="00000A"/>
          <w:sz w:val="24"/>
          <w:szCs w:val="24"/>
        </w:rPr>
        <w:t xml:space="preserve"> Taipei 2019 showcases Taiwan’s innovations – in the areas such as artificial intelligence, green energy</w:t>
      </w:r>
      <w:r>
        <w:rPr>
          <w:rFonts w:eastAsia="Times New Roman" w:cs="Calibri"/>
          <w:color w:val="00000A"/>
          <w:sz w:val="24"/>
          <w:szCs w:val="24"/>
        </w:rPr>
        <w:t>, biotechnology, pharmaceuticals and nanomaterials – which are vital to people's livelihoods and to the development of society and an industrial economy. The annual event, which was first held in 2017, is organized by MOST.</w:t>
      </w:r>
    </w:p>
    <w:p w:rsidR="00102CED" w:rsidRDefault="00102CED">
      <w:pPr>
        <w:spacing w:after="0" w:line="240" w:lineRule="auto"/>
        <w:rPr>
          <w:rFonts w:ascii="Times New Roman" w:eastAsia="Times New Roman" w:hAnsi="Times New Roman" w:cs="Times New Roman"/>
          <w:sz w:val="24"/>
          <w:szCs w:val="24"/>
        </w:rPr>
      </w:pPr>
    </w:p>
    <w:p w:rsidR="00102CED" w:rsidRDefault="003F1D65">
      <w:pPr>
        <w:spacing w:after="0" w:line="240" w:lineRule="auto"/>
      </w:pPr>
      <w:r>
        <w:rPr>
          <w:rFonts w:eastAsia="Times New Roman" w:cs="Calibri"/>
          <w:color w:val="00000A"/>
          <w:sz w:val="24"/>
          <w:szCs w:val="24"/>
        </w:rPr>
        <w:t>To demonstrate Taiwan's ability</w:t>
      </w:r>
      <w:r>
        <w:rPr>
          <w:rFonts w:eastAsia="Times New Roman" w:cs="Calibri"/>
          <w:color w:val="00000A"/>
          <w:sz w:val="24"/>
          <w:szCs w:val="24"/>
        </w:rPr>
        <w:t xml:space="preserve"> to master key practical technologies for industry, selection criteria include industrial applicability as well as scientific innovation. Innovations are carefully selected from research institutes, science parks, and many other sources. By using this exhi</w:t>
      </w:r>
      <w:r>
        <w:rPr>
          <w:rFonts w:eastAsia="Times New Roman" w:cs="Calibri"/>
          <w:color w:val="00000A"/>
          <w:sz w:val="24"/>
          <w:szCs w:val="24"/>
        </w:rPr>
        <w:t>bition to share and publicize the practical creativity of Taiwan’s industry, academia and researchers, Taiwan is improving on its already strong position as a global source of innovative science and technology.</w:t>
      </w:r>
      <w:r>
        <w:rPr>
          <w:rFonts w:ascii="Times New Roman" w:eastAsia="Times New Roman" w:hAnsi="Times New Roman" w:cs="Times New Roman"/>
          <w:color w:val="00000A"/>
          <w:sz w:val="24"/>
          <w:szCs w:val="24"/>
        </w:rPr>
        <w:t xml:space="preserve"> Find out more at https://www.futuretech.org.t</w:t>
      </w:r>
      <w:r>
        <w:rPr>
          <w:rFonts w:ascii="Times New Roman" w:eastAsia="Times New Roman" w:hAnsi="Times New Roman" w:cs="Times New Roman"/>
          <w:color w:val="00000A"/>
          <w:sz w:val="24"/>
          <w:szCs w:val="24"/>
        </w:rPr>
        <w:t>w</w:t>
      </w:r>
    </w:p>
    <w:p w:rsidR="00102CED" w:rsidRDefault="00102CED">
      <w:pPr>
        <w:spacing w:after="0" w:line="240" w:lineRule="auto"/>
        <w:rPr>
          <w:rFonts w:ascii="Times New Roman" w:eastAsia="Times New Roman" w:hAnsi="Times New Roman" w:cs="Times New Roman"/>
          <w:sz w:val="24"/>
          <w:szCs w:val="24"/>
        </w:rPr>
      </w:pPr>
    </w:p>
    <w:p w:rsidR="00102CED" w:rsidRDefault="003F1D65">
      <w:pPr>
        <w:spacing w:after="0" w:line="240" w:lineRule="auto"/>
        <w:rPr>
          <w:rFonts w:ascii="Times New Roman" w:eastAsia="Times New Roman" w:hAnsi="Times New Roman" w:cs="Times New Roman"/>
          <w:sz w:val="24"/>
          <w:szCs w:val="24"/>
        </w:rPr>
      </w:pPr>
      <w:r>
        <w:rPr>
          <w:rFonts w:eastAsia="Times New Roman" w:cs="Calibri"/>
          <w:b/>
          <w:bCs/>
          <w:color w:val="00000A"/>
          <w:sz w:val="24"/>
          <w:szCs w:val="24"/>
        </w:rPr>
        <w:t>About the Ministry of Science and Technology (MOST)</w:t>
      </w:r>
    </w:p>
    <w:p w:rsidR="00102CED" w:rsidRDefault="00102CED">
      <w:pPr>
        <w:spacing w:after="0" w:line="240" w:lineRule="auto"/>
        <w:rPr>
          <w:rFonts w:ascii="Times New Roman" w:eastAsia="Times New Roman" w:hAnsi="Times New Roman" w:cs="Times New Roman"/>
          <w:sz w:val="24"/>
          <w:szCs w:val="24"/>
        </w:rPr>
      </w:pPr>
    </w:p>
    <w:p w:rsidR="00102CED" w:rsidRDefault="003F1D65">
      <w:pPr>
        <w:spacing w:after="0" w:line="240" w:lineRule="auto"/>
      </w:pPr>
      <w:r>
        <w:rPr>
          <w:rFonts w:eastAsia="Times New Roman" w:cs="Calibri"/>
          <w:color w:val="00000A"/>
          <w:sz w:val="24"/>
          <w:szCs w:val="24"/>
        </w:rPr>
        <w:t xml:space="preserve">Scientific and technological innovations are major driving forces of economic growth and national progress. The MOST spearheads Taiwan’s exploration and development of the latest technologies. It is </w:t>
      </w:r>
      <w:r>
        <w:rPr>
          <w:rFonts w:eastAsia="Times New Roman" w:cs="Calibri"/>
          <w:color w:val="00000A"/>
          <w:sz w:val="24"/>
          <w:szCs w:val="24"/>
        </w:rPr>
        <w:t>the successor to the National Science Council (NSC) established in 1967. MOST promotes science and technology development, supports and encourages forward-looking academic research, and oversees Taiwan’s science parks – critical generators of innovation an</w:t>
      </w:r>
      <w:r>
        <w:rPr>
          <w:rFonts w:eastAsia="Times New Roman" w:cs="Calibri"/>
          <w:color w:val="00000A"/>
          <w:sz w:val="24"/>
          <w:szCs w:val="24"/>
        </w:rPr>
        <w:t>d science-industry cooperation that have made Taiwan a key provider of practical technologies used worldwide by billions of people. The ministry strives to harmonize science and technology with the humanities, as well as to promote Taiwan’s originality and</w:t>
      </w:r>
      <w:r>
        <w:rPr>
          <w:rFonts w:eastAsia="Times New Roman" w:cs="Calibri"/>
          <w:color w:val="00000A"/>
          <w:sz w:val="24"/>
          <w:szCs w:val="24"/>
        </w:rPr>
        <w:t xml:space="preserve"> international competitiveness. MOST provides top-level strategic guidance for national policy by drafting the National Science and Technology Development Plan.</w:t>
      </w:r>
      <w:r>
        <w:rPr>
          <w:rFonts w:ascii="Times New Roman" w:eastAsia="Times New Roman" w:hAnsi="Times New Roman" w:cs="Times New Roman"/>
          <w:color w:val="00000A"/>
          <w:sz w:val="24"/>
          <w:szCs w:val="24"/>
        </w:rPr>
        <w:t xml:space="preserve"> For more information visit https://www.most.gov.tw</w:t>
      </w:r>
    </w:p>
    <w:p w:rsidR="00102CED" w:rsidRDefault="00102CED"/>
    <w:sectPr w:rsidR="00102CE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ED"/>
    <w:rsid w:val="00102CED"/>
    <w:rsid w:val="003F1D6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pPr>
      <w:spacing w:after="140" w:line="276"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styleId="Web">
    <w:name w:val="Normal (Web)"/>
    <w:basedOn w:val="a"/>
    <w:uiPriority w:val="99"/>
    <w:semiHidden/>
    <w:unhideWhenUsed/>
    <w:qFormat/>
    <w:rsid w:val="0075689B"/>
    <w:pPr>
      <w:spacing w:beforeAutospacing="1"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pPr>
      <w:spacing w:after="140" w:line="276"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styleId="Web">
    <w:name w:val="Normal (Web)"/>
    <w:basedOn w:val="a"/>
    <w:uiPriority w:val="99"/>
    <w:semiHidden/>
    <w:unhideWhenUsed/>
    <w:qFormat/>
    <w:rsid w:val="0075689B"/>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Naude</dc:creator>
  <dc:description/>
  <cp:lastModifiedBy>張懿云</cp:lastModifiedBy>
  <cp:revision>6</cp:revision>
  <dcterms:created xsi:type="dcterms:W3CDTF">2019-10-16T23:24:00Z</dcterms:created>
  <dcterms:modified xsi:type="dcterms:W3CDTF">2019-10-17T01:41:00Z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