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2" w:rsidRDefault="00421E82" w:rsidP="00421E82">
      <w:pPr>
        <w:tabs>
          <w:tab w:val="left" w:pos="5529"/>
        </w:tabs>
        <w:spacing w:line="276" w:lineRule="auto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科技部新聞稿</w:t>
      </w:r>
    </w:p>
    <w:p w:rsidR="008D5A00" w:rsidRPr="002057F1" w:rsidRDefault="00732240">
      <w:pPr>
        <w:jc w:val="center"/>
        <w:rPr>
          <w:b/>
          <w:bCs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57F1">
        <w:rPr>
          <w:b/>
          <w:bCs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AIoT </w:t>
      </w:r>
      <w:r w:rsidRPr="002057F1">
        <w:rPr>
          <w:rFonts w:eastAsia="標楷體" w:hint="eastAsia"/>
          <w:b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創新應用進行式，未來科技館打磨下</w:t>
      </w:r>
      <w:proofErr w:type="gramStart"/>
      <w:r w:rsidRPr="002057F1">
        <w:rPr>
          <w:rFonts w:eastAsia="標楷體" w:hint="eastAsia"/>
          <w:b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個兆級</w:t>
      </w:r>
      <w:proofErr w:type="gramEnd"/>
      <w:r w:rsidRPr="002057F1">
        <w:rPr>
          <w:rFonts w:eastAsia="標楷體" w:hint="eastAsia"/>
          <w:b/>
          <w:sz w:val="36"/>
          <w:szCs w:val="36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藍海市場</w:t>
      </w:r>
    </w:p>
    <w:p w:rsidR="008D5A00" w:rsidRDefault="008D5A00">
      <w:pPr>
        <w:spacing w:line="400" w:lineRule="exact"/>
        <w:ind w:right="84"/>
        <w:jc w:val="right"/>
        <w:rPr>
          <w:rFonts w:ascii="標楷體" w:eastAsia="標楷體" w:hAnsi="標楷體" w:cs="標楷體"/>
        </w:rPr>
      </w:pPr>
    </w:p>
    <w:p w:rsidR="008D5A00" w:rsidRDefault="00732240">
      <w:pPr>
        <w:widowControl w:val="0"/>
        <w:spacing w:before="120" w:line="500" w:lineRule="exact"/>
        <w:ind w:firstLine="482"/>
        <w:jc w:val="both"/>
        <w:rPr>
          <w:b/>
          <w:bCs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跨入萬物聯網時代，創新科技的加值應用已成未來進行式。由科技部攜手中央研究院、教育部及衛福部共同主辦「</w:t>
      </w:r>
      <w:r>
        <w:rPr>
          <w:kern w:val="2"/>
          <w:sz w:val="28"/>
          <w:szCs w:val="28"/>
        </w:rPr>
        <w:t xml:space="preserve">2020 </w:t>
      </w:r>
      <w:r>
        <w:rPr>
          <w:rFonts w:eastAsia="標楷體" w:hint="eastAsia"/>
          <w:kern w:val="2"/>
          <w:sz w:val="28"/>
          <w:szCs w:val="28"/>
          <w:lang w:val="zh-TW"/>
        </w:rPr>
        <w:t>台灣創新技術博覽會</w:t>
      </w:r>
      <w:r>
        <w:rPr>
          <w:kern w:val="2"/>
          <w:sz w:val="28"/>
          <w:szCs w:val="28"/>
        </w:rPr>
        <w:t>-</w:t>
      </w:r>
      <w:r>
        <w:rPr>
          <w:rFonts w:eastAsia="標楷體" w:hint="eastAsia"/>
          <w:kern w:val="2"/>
          <w:sz w:val="28"/>
          <w:szCs w:val="28"/>
          <w:lang w:val="zh-TW"/>
        </w:rPr>
        <w:t>未來科技館」，將於</w:t>
      </w:r>
      <w:r>
        <w:rPr>
          <w:kern w:val="2"/>
          <w:sz w:val="28"/>
          <w:szCs w:val="28"/>
        </w:rPr>
        <w:t xml:space="preserve"> 9 </w:t>
      </w:r>
      <w:r>
        <w:rPr>
          <w:rFonts w:eastAsia="標楷體" w:hint="eastAsia"/>
          <w:kern w:val="2"/>
          <w:sz w:val="28"/>
          <w:szCs w:val="28"/>
          <w:lang w:val="zh-TW"/>
        </w:rPr>
        <w:t>月</w:t>
      </w:r>
      <w:r>
        <w:rPr>
          <w:kern w:val="2"/>
          <w:sz w:val="28"/>
          <w:szCs w:val="28"/>
        </w:rPr>
        <w:t xml:space="preserve"> 24 </w:t>
      </w:r>
      <w:r>
        <w:rPr>
          <w:rFonts w:eastAsia="標楷體" w:hint="eastAsia"/>
          <w:kern w:val="2"/>
          <w:sz w:val="28"/>
          <w:szCs w:val="28"/>
          <w:lang w:val="zh-TW"/>
        </w:rPr>
        <w:t>日至</w:t>
      </w:r>
      <w:r>
        <w:rPr>
          <w:kern w:val="2"/>
          <w:sz w:val="28"/>
          <w:szCs w:val="28"/>
        </w:rPr>
        <w:t xml:space="preserve"> 26 </w:t>
      </w:r>
      <w:r>
        <w:rPr>
          <w:rFonts w:eastAsia="標楷體" w:hint="eastAsia"/>
          <w:kern w:val="2"/>
          <w:sz w:val="28"/>
          <w:szCs w:val="28"/>
          <w:lang w:val="zh-TW"/>
        </w:rPr>
        <w:t>日在世貿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一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館開展，展出逾百件的科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研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創新成果，核心主軸將圍繞在</w:t>
      </w:r>
      <w:r>
        <w:rPr>
          <w:kern w:val="2"/>
          <w:sz w:val="28"/>
          <w:szCs w:val="28"/>
        </w:rPr>
        <w:t xml:space="preserve"> 5+2 </w:t>
      </w:r>
      <w:r>
        <w:rPr>
          <w:rFonts w:eastAsia="標楷體" w:hint="eastAsia"/>
          <w:kern w:val="2"/>
          <w:sz w:val="28"/>
          <w:szCs w:val="28"/>
          <w:lang w:val="zh-TW"/>
        </w:rPr>
        <w:t>產業創新技術的基礎，以超越歷年的展覽規模呈現五大關鍵領域，包括精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準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健康生態系、電子與光電、</w:t>
      </w:r>
      <w:r>
        <w:rPr>
          <w:kern w:val="2"/>
          <w:sz w:val="28"/>
          <w:szCs w:val="28"/>
        </w:rPr>
        <w:t xml:space="preserve">AI </w:t>
      </w:r>
      <w:r>
        <w:rPr>
          <w:rFonts w:eastAsia="標楷體" w:hint="eastAsia"/>
          <w:kern w:val="2"/>
          <w:sz w:val="28"/>
          <w:szCs w:val="28"/>
          <w:lang w:val="zh-TW"/>
        </w:rPr>
        <w:t>及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AIoT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rFonts w:eastAsia="標楷體" w:hint="eastAsia"/>
          <w:kern w:val="2"/>
          <w:sz w:val="28"/>
          <w:szCs w:val="28"/>
          <w:lang w:val="zh-TW"/>
        </w:rPr>
        <w:t>應用、新穎材料、特色領域研究中心，並採用科技部</w:t>
      </w:r>
      <w:r>
        <w:rPr>
          <w:kern w:val="2"/>
          <w:sz w:val="28"/>
          <w:szCs w:val="28"/>
        </w:rPr>
        <w:t xml:space="preserve"> TTA </w:t>
      </w:r>
      <w:r>
        <w:rPr>
          <w:rFonts w:eastAsia="標楷體" w:hint="eastAsia"/>
          <w:kern w:val="2"/>
          <w:sz w:val="28"/>
          <w:szCs w:val="28"/>
          <w:lang w:val="zh-TW"/>
        </w:rPr>
        <w:t>專案計畫成果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iStaging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rFonts w:eastAsia="標楷體" w:hint="eastAsia"/>
          <w:kern w:val="2"/>
          <w:sz w:val="28"/>
          <w:szCs w:val="28"/>
          <w:lang w:val="zh-TW"/>
        </w:rPr>
        <w:t>技術，以</w:t>
      </w:r>
      <w:r>
        <w:rPr>
          <w:kern w:val="2"/>
          <w:sz w:val="28"/>
          <w:szCs w:val="28"/>
        </w:rPr>
        <w:t xml:space="preserve"> 3D </w:t>
      </w:r>
      <w:r>
        <w:rPr>
          <w:rFonts w:eastAsia="標楷體" w:hint="eastAsia"/>
          <w:kern w:val="2"/>
          <w:sz w:val="28"/>
          <w:szCs w:val="28"/>
          <w:lang w:val="zh-TW"/>
        </w:rPr>
        <w:t>互動實境體驗拉近人與技術之間的距離，更透過關鍵字智慧推薦與展場導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覽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解說，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促進跨域的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交流機會並增加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媒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合成功率。</w:t>
      </w:r>
    </w:p>
    <w:p w:rsidR="008D5A00" w:rsidRDefault="00732240">
      <w:pPr>
        <w:widowControl w:val="0"/>
        <w:spacing w:before="120" w:line="500" w:lineRule="exact"/>
        <w:ind w:firstLine="482"/>
        <w:jc w:val="both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在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AIoT</w:t>
      </w:r>
      <w:proofErr w:type="spellEnd"/>
      <w:r>
        <w:rPr>
          <w:kern w:val="2"/>
          <w:sz w:val="28"/>
          <w:szCs w:val="28"/>
        </w:rPr>
        <w:t>(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人工智慧物聯網</w:t>
      </w:r>
      <w:proofErr w:type="gramEnd"/>
      <w:r>
        <w:rPr>
          <w:kern w:val="2"/>
          <w:sz w:val="28"/>
          <w:szCs w:val="28"/>
        </w:rPr>
        <w:t xml:space="preserve">) </w:t>
      </w:r>
      <w:r>
        <w:rPr>
          <w:rFonts w:eastAsia="標楷體" w:hint="eastAsia"/>
          <w:kern w:val="2"/>
          <w:sz w:val="28"/>
          <w:szCs w:val="28"/>
          <w:lang w:val="zh-TW"/>
        </w:rPr>
        <w:t>社會中，強大的</w:t>
      </w:r>
      <w:r>
        <w:rPr>
          <w:kern w:val="2"/>
          <w:sz w:val="28"/>
          <w:szCs w:val="28"/>
        </w:rPr>
        <w:t xml:space="preserve"> AI </w:t>
      </w:r>
      <w:r>
        <w:rPr>
          <w:rFonts w:eastAsia="標楷體" w:hint="eastAsia"/>
          <w:kern w:val="2"/>
          <w:sz w:val="28"/>
          <w:szCs w:val="28"/>
          <w:lang w:val="zh-TW"/>
        </w:rPr>
        <w:t>演算能力加上顛覆性的</w:t>
      </w:r>
      <w:r>
        <w:rPr>
          <w:kern w:val="2"/>
          <w:sz w:val="28"/>
          <w:szCs w:val="28"/>
        </w:rPr>
        <w:t xml:space="preserve"> 5G </w:t>
      </w:r>
      <w:r>
        <w:rPr>
          <w:rFonts w:eastAsia="標楷體" w:hint="eastAsia"/>
          <w:kern w:val="2"/>
          <w:sz w:val="28"/>
          <w:szCs w:val="28"/>
          <w:lang w:val="zh-TW"/>
        </w:rPr>
        <w:t>網路架構與連線能力，讓人與人、人與物、物與物之間的互動關係更加密切，新的藍海市場也儼然成形。科技部長吳政忠表示，「</w:t>
      </w:r>
      <w:proofErr w:type="spellStart"/>
      <w:r>
        <w:rPr>
          <w:kern w:val="2"/>
          <w:sz w:val="28"/>
          <w:szCs w:val="28"/>
        </w:rPr>
        <w:t>AIoT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rFonts w:eastAsia="標楷體" w:hint="eastAsia"/>
          <w:kern w:val="2"/>
          <w:sz w:val="28"/>
          <w:szCs w:val="28"/>
          <w:lang w:val="zh-TW"/>
        </w:rPr>
        <w:t>不再只是硬體技術發展，而轉向創新應用的探索，</w:t>
      </w:r>
      <w:r>
        <w:rPr>
          <w:kern w:val="2"/>
          <w:sz w:val="28"/>
          <w:szCs w:val="28"/>
        </w:rPr>
        <w:t xml:space="preserve">AI </w:t>
      </w:r>
      <w:r>
        <w:rPr>
          <w:rFonts w:eastAsia="標楷體" w:hint="eastAsia"/>
          <w:kern w:val="2"/>
          <w:sz w:val="28"/>
          <w:szCs w:val="28"/>
          <w:lang w:val="zh-TW"/>
        </w:rPr>
        <w:t>與</w:t>
      </w:r>
      <w:r>
        <w:rPr>
          <w:kern w:val="2"/>
          <w:sz w:val="28"/>
          <w:szCs w:val="28"/>
        </w:rPr>
        <w:t xml:space="preserve"> 5G </w:t>
      </w:r>
      <w:r>
        <w:rPr>
          <w:rFonts w:eastAsia="標楷體" w:hint="eastAsia"/>
          <w:kern w:val="2"/>
          <w:sz w:val="28"/>
          <w:szCs w:val="28"/>
          <w:lang w:val="zh-TW"/>
        </w:rPr>
        <w:t>分別扮演整個系統的大腦與神經，驅動科技巨輪的轉動並深入到生活的每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個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層面，台灣則在既有的基礎上擁有很大的潛力將兩者結合。」</w:t>
      </w:r>
    </w:p>
    <w:p w:rsidR="008D5A00" w:rsidRPr="002057F1" w:rsidRDefault="00732240">
      <w:pPr>
        <w:widowControl w:val="0"/>
        <w:spacing w:before="120" w:line="500" w:lineRule="exact"/>
        <w:jc w:val="both"/>
        <w:rPr>
          <w:rFonts w:ascii="標楷體" w:eastAsia="標楷體" w:hAnsi="標楷體" w:cs="標楷體"/>
          <w:b/>
          <w:kern w:val="2"/>
          <w:sz w:val="28"/>
          <w:szCs w:val="28"/>
          <w:lang w:val="zh-TW"/>
        </w:rPr>
      </w:pPr>
      <w:r w:rsidRPr="002057F1">
        <w:rPr>
          <w:rFonts w:ascii="標楷體" w:hAnsi="標楷體"/>
          <w:b/>
          <w:kern w:val="2"/>
          <w:sz w:val="28"/>
          <w:szCs w:val="28"/>
          <w:lang w:val="zh-TW"/>
        </w:rPr>
        <w:t>AIoT</w:t>
      </w:r>
      <w:r w:rsidRPr="002057F1">
        <w:rPr>
          <w:rFonts w:eastAsia="標楷體" w:hint="eastAsia"/>
          <w:b/>
          <w:kern w:val="2"/>
          <w:sz w:val="28"/>
          <w:szCs w:val="28"/>
          <w:lang w:val="zh-TW"/>
        </w:rPr>
        <w:t xml:space="preserve"> </w:t>
      </w:r>
      <w:r w:rsidRPr="002057F1">
        <w:rPr>
          <w:rFonts w:eastAsia="標楷體" w:hint="eastAsia"/>
          <w:b/>
          <w:kern w:val="2"/>
          <w:sz w:val="28"/>
          <w:szCs w:val="28"/>
          <w:lang w:val="zh-TW"/>
        </w:rPr>
        <w:t>千里眼，天然災害提早現</w:t>
      </w:r>
      <w:proofErr w:type="gramStart"/>
      <w:r w:rsidRPr="002057F1">
        <w:rPr>
          <w:rFonts w:eastAsia="標楷體" w:hint="eastAsia"/>
          <w:b/>
          <w:kern w:val="2"/>
          <w:sz w:val="28"/>
          <w:szCs w:val="28"/>
          <w:lang w:val="zh-TW"/>
        </w:rPr>
        <w:t>蹤</w:t>
      </w:r>
      <w:proofErr w:type="gramEnd"/>
    </w:p>
    <w:p w:rsidR="008D5A00" w:rsidRDefault="00732240">
      <w:pPr>
        <w:widowControl w:val="0"/>
        <w:spacing w:before="120" w:line="500" w:lineRule="exact"/>
        <w:ind w:firstLine="482"/>
        <w:jc w:val="both"/>
        <w:rPr>
          <w:kern w:val="2"/>
          <w:sz w:val="28"/>
          <w:szCs w:val="28"/>
          <w:lang w:val="zh-TW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有鑒於全球氣候異常導致天然災害發生越加頻繁，災害性的天氣預警已是民生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服務標配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。國立中央大學劉千義教授與團隊推出的「利用衛星於雲雨連續監測及其在民生服務之應用」，以自行開發的演算法處理地球同步氣象衛星觀測資料，獲得重要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的雲微物理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及光學性質，可分析雲生成的相關因子，如豪大雨、低雲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冪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及旺盛對流等，未來可協助空運、航運等重要民生產業進行天氣預警，降低營運風險及成本。</w:t>
      </w:r>
    </w:p>
    <w:p w:rsidR="008D5A00" w:rsidRDefault="00732240">
      <w:pPr>
        <w:widowControl w:val="0"/>
        <w:spacing w:before="120" w:line="500" w:lineRule="exact"/>
        <w:ind w:firstLine="482"/>
        <w:jc w:val="both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地震、海嘯的發生可從太空電離層找到徵兆，這並非異想天開，由國立中央大學劉正彥研發團隊所推出的「全球電離層海嘯監測與預警系統－太空浮標」，利用地面全球衛星導航系統接收機網紀錄資料，證實海嘯會引起電離層擾亂，</w:t>
      </w:r>
      <w:r>
        <w:rPr>
          <w:kern w:val="2"/>
          <w:sz w:val="28"/>
          <w:szCs w:val="28"/>
        </w:rPr>
        <w:t xml:space="preserve">2011 </w:t>
      </w:r>
      <w:r>
        <w:rPr>
          <w:rFonts w:eastAsia="標楷體" w:hint="eastAsia"/>
          <w:kern w:val="2"/>
          <w:sz w:val="28"/>
          <w:szCs w:val="28"/>
          <w:lang w:val="zh-TW"/>
        </w:rPr>
        <w:t>年更從太空電離層中首次直擊日本東北地震之海嘯源頭，研究成果受到國際重視。而團隊更以此突破性技術，建置全世界最完整之全球電離層海嘯預警系統。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去年福衛七號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升空後，可取得三維電離層電漿結構與動力觀測資料，將擴大研究範疇，從地震電離層前兆、海嘯預警到太空天氣觀測。</w:t>
      </w:r>
    </w:p>
    <w:p w:rsidR="008D5A00" w:rsidRPr="002057F1" w:rsidRDefault="00732240">
      <w:pPr>
        <w:widowControl w:val="0"/>
        <w:spacing w:before="120" w:line="500" w:lineRule="exact"/>
        <w:jc w:val="both"/>
        <w:rPr>
          <w:rFonts w:ascii="標楷體" w:eastAsia="標楷體" w:hAnsi="標楷體" w:cs="標楷體"/>
          <w:b/>
          <w:kern w:val="2"/>
          <w:sz w:val="28"/>
          <w:szCs w:val="28"/>
          <w:lang w:val="zh-TW"/>
        </w:rPr>
      </w:pPr>
      <w:r w:rsidRPr="002057F1">
        <w:rPr>
          <w:rFonts w:eastAsia="標楷體" w:hint="eastAsia"/>
          <w:b/>
          <w:kern w:val="2"/>
          <w:sz w:val="28"/>
          <w:szCs w:val="28"/>
          <w:lang w:val="zh-TW"/>
        </w:rPr>
        <w:lastRenderedPageBreak/>
        <w:t>智慧海關偵測技術，防止關稅漏網之魚</w:t>
      </w:r>
    </w:p>
    <w:p w:rsidR="008D5A00" w:rsidRDefault="00732240">
      <w:pPr>
        <w:widowControl w:val="0"/>
        <w:spacing w:before="120" w:line="500" w:lineRule="exact"/>
        <w:ind w:firstLine="482"/>
        <w:jc w:val="both"/>
        <w:rPr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國立成功大學李政德研發團隊與世界海關組織（</w:t>
      </w:r>
      <w:r>
        <w:rPr>
          <w:kern w:val="2"/>
          <w:sz w:val="28"/>
          <w:szCs w:val="28"/>
        </w:rPr>
        <w:t>Word Customs Organization</w:t>
      </w:r>
      <w:r>
        <w:rPr>
          <w:rFonts w:eastAsia="標楷體" w:hint="eastAsia"/>
          <w:kern w:val="2"/>
          <w:sz w:val="28"/>
          <w:szCs w:val="28"/>
          <w:lang w:val="zh-TW"/>
        </w:rPr>
        <w:t>）進行國際合作，以深度學習演算法開發「人工智慧海關非法走私偵測技術」，針對進口貨品產生具可解釋性的違法偵測結果，測試在奈及利亞與馬拉威的進口申報資料，並獲得史上最好的走私偵測準確率</w:t>
      </w:r>
      <w:proofErr w:type="gramStart"/>
      <w:r>
        <w:rPr>
          <w:kern w:val="2"/>
          <w:sz w:val="28"/>
          <w:szCs w:val="28"/>
        </w:rPr>
        <w:t>——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只須以</w:t>
      </w:r>
      <w:r>
        <w:rPr>
          <w:kern w:val="2"/>
          <w:sz w:val="28"/>
          <w:szCs w:val="28"/>
        </w:rPr>
        <w:t xml:space="preserve"> AI </w:t>
      </w:r>
      <w:r>
        <w:rPr>
          <w:rFonts w:eastAsia="標楷體" w:hint="eastAsia"/>
          <w:kern w:val="2"/>
          <w:sz w:val="28"/>
          <w:szCs w:val="28"/>
          <w:lang w:val="zh-TW"/>
        </w:rPr>
        <w:t>偵測</w:t>
      </w:r>
      <w:r>
        <w:rPr>
          <w:kern w:val="2"/>
          <w:sz w:val="28"/>
          <w:szCs w:val="28"/>
        </w:rPr>
        <w:t xml:space="preserve"> 1% </w:t>
      </w:r>
      <w:r>
        <w:rPr>
          <w:rFonts w:eastAsia="標楷體" w:hint="eastAsia"/>
          <w:kern w:val="2"/>
          <w:sz w:val="28"/>
          <w:szCs w:val="28"/>
          <w:lang w:val="zh-TW"/>
        </w:rPr>
        <w:t>的高風險交易，就能夠找回將近</w:t>
      </w:r>
      <w:r>
        <w:rPr>
          <w:kern w:val="2"/>
          <w:sz w:val="28"/>
          <w:szCs w:val="28"/>
        </w:rPr>
        <w:t xml:space="preserve"> 50% </w:t>
      </w:r>
      <w:r>
        <w:rPr>
          <w:rFonts w:eastAsia="標楷體" w:hint="eastAsia"/>
          <w:kern w:val="2"/>
          <w:sz w:val="28"/>
          <w:szCs w:val="28"/>
          <w:lang w:val="zh-TW"/>
        </w:rPr>
        <w:t>的關稅收益，為整體社會創造額外的經濟效益。未來也可偵測進出口貿易的合法性，為政府增加額外關稅收益與防止逃漏關稅。此技術已開源，也可應用於銀行業找出違法金融交易，如洗錢偵測與防治。</w:t>
      </w:r>
    </w:p>
    <w:p w:rsidR="008D5A00" w:rsidRPr="002057F1" w:rsidRDefault="00732240">
      <w:pPr>
        <w:widowControl w:val="0"/>
        <w:spacing w:before="120" w:line="500" w:lineRule="exact"/>
        <w:jc w:val="both"/>
        <w:rPr>
          <w:b/>
          <w:bCs/>
          <w:kern w:val="2"/>
          <w:sz w:val="28"/>
          <w:szCs w:val="28"/>
          <w:lang w:val="zh-TW"/>
        </w:rPr>
      </w:pPr>
      <w:bookmarkStart w:id="0" w:name="_GoBack"/>
      <w:proofErr w:type="gramStart"/>
      <w:r w:rsidRPr="002057F1">
        <w:rPr>
          <w:rFonts w:eastAsia="標楷體" w:hint="eastAsia"/>
          <w:b/>
          <w:kern w:val="2"/>
          <w:sz w:val="28"/>
          <w:szCs w:val="28"/>
          <w:lang w:val="zh-TW"/>
        </w:rPr>
        <w:t>矽</w:t>
      </w:r>
      <w:proofErr w:type="gramEnd"/>
      <w:r w:rsidRPr="002057F1">
        <w:rPr>
          <w:rFonts w:eastAsia="標楷體" w:hint="eastAsia"/>
          <w:b/>
          <w:kern w:val="2"/>
          <w:sz w:val="28"/>
          <w:szCs w:val="28"/>
          <w:lang w:val="zh-TW"/>
        </w:rPr>
        <w:t>光子傳輸晶片，通訊傳輸技術再進化</w:t>
      </w:r>
    </w:p>
    <w:bookmarkEnd w:id="0"/>
    <w:p w:rsidR="008D5A00" w:rsidRDefault="00732240">
      <w:pPr>
        <w:widowControl w:val="0"/>
        <w:spacing w:before="120" w:line="500" w:lineRule="exact"/>
        <w:ind w:firstLine="482"/>
        <w:jc w:val="both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隨著雲端應用及</w:t>
      </w:r>
      <w:r>
        <w:rPr>
          <w:kern w:val="2"/>
          <w:sz w:val="28"/>
          <w:szCs w:val="28"/>
        </w:rPr>
        <w:t xml:space="preserve"> 5G 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低延時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的智慧時代來臨，數據訊號傳輸的極限屢屢被推進。國立高雄科技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大學施天從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研發團隊以原創性架構開發出「超世代</w:t>
      </w:r>
      <w:r>
        <w:rPr>
          <w:rFonts w:ascii="標楷體" w:hAnsi="標楷體"/>
          <w:kern w:val="2"/>
          <w:sz w:val="28"/>
          <w:szCs w:val="28"/>
          <w:lang w:val="zh-TW"/>
        </w:rPr>
        <w:t xml:space="preserve"> </w:t>
      </w:r>
      <w:r>
        <w:rPr>
          <w:kern w:val="2"/>
          <w:sz w:val="28"/>
          <w:szCs w:val="28"/>
        </w:rPr>
        <w:t>1.6Tb/s</w:t>
      </w:r>
      <w:r>
        <w:rPr>
          <w:kern w:val="2"/>
          <w:sz w:val="28"/>
          <w:szCs w:val="28"/>
          <w:lang w:val="zh-TW"/>
        </w:rPr>
        <w:t xml:space="preserve"> </w:t>
      </w:r>
      <w:r>
        <w:rPr>
          <w:rFonts w:eastAsia="標楷體" w:hint="eastAsia"/>
          <w:kern w:val="2"/>
          <w:sz w:val="28"/>
          <w:szCs w:val="28"/>
          <w:lang w:val="zh-TW"/>
        </w:rPr>
        <w:t>矽光子光發射傳輸晶片」，為全球首創可進行多波長及多路的雷射光交換路徑元件，所設計開發完成的</w:t>
      </w:r>
      <w:r>
        <w:rPr>
          <w:rFonts w:ascii="標楷體" w:hAnsi="標楷體"/>
          <w:kern w:val="2"/>
          <w:sz w:val="28"/>
          <w:szCs w:val="28"/>
          <w:lang w:val="zh-TW"/>
        </w:rPr>
        <w:t xml:space="preserve"> </w:t>
      </w:r>
      <w:r>
        <w:rPr>
          <w:kern w:val="2"/>
          <w:sz w:val="28"/>
          <w:szCs w:val="28"/>
        </w:rPr>
        <w:t>1.6Tb/s</w:t>
      </w:r>
      <w:r>
        <w:rPr>
          <w:kern w:val="2"/>
          <w:sz w:val="28"/>
          <w:szCs w:val="28"/>
          <w:lang w:val="zh-TW"/>
        </w:rPr>
        <w:t xml:space="preserve"> </w:t>
      </w:r>
      <w:r>
        <w:rPr>
          <w:rFonts w:eastAsia="標楷體" w:hint="eastAsia"/>
          <w:kern w:val="2"/>
          <w:sz w:val="28"/>
          <w:szCs w:val="28"/>
          <w:lang w:val="zh-TW"/>
        </w:rPr>
        <w:t>矽光子光發射傳輸晶片，則為國內外單位晶片面積上總傳輸速度最高的矽光子晶片。高雄科技大學也在矽光子技術領域建立自主性的元件結構及資料庫，未來將部署完整的全球智財權，同時引領其他各項應用，如光電感測、光電生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醫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訊號檢測、車載光電系統等產業發展專用的矽光子晶片，創造新商機與效益。</w:t>
      </w:r>
    </w:p>
    <w:p w:rsidR="008D5A00" w:rsidRDefault="00732240">
      <w:pPr>
        <w:widowControl w:val="0"/>
        <w:spacing w:before="120" w:line="500" w:lineRule="exact"/>
        <w:jc w:val="both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摩爾定律再延續，下世代記憶體應用廣</w:t>
      </w:r>
    </w:p>
    <w:p w:rsidR="008D5A00" w:rsidRDefault="00732240">
      <w:pPr>
        <w:widowControl w:val="0"/>
        <w:spacing w:before="120" w:line="500" w:lineRule="exact"/>
        <w:ind w:firstLine="482"/>
        <w:jc w:val="both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  <w:lang w:val="zh-TW"/>
        </w:rPr>
        <w:t>國立台灣大學薛文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証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研發團隊推出具有超高性能之下世代記憶體「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超晶格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自旋轉移力矩磁阻式記憶體</w:t>
      </w:r>
      <w:r>
        <w:rPr>
          <w:kern w:val="2"/>
          <w:sz w:val="28"/>
          <w:szCs w:val="28"/>
        </w:rPr>
        <w:t xml:space="preserve"> SS-MRAM</w:t>
      </w:r>
      <w:r>
        <w:rPr>
          <w:rFonts w:eastAsia="標楷體" w:hint="eastAsia"/>
          <w:kern w:val="2"/>
          <w:sz w:val="28"/>
          <w:szCs w:val="28"/>
          <w:lang w:val="zh-TW"/>
        </w:rPr>
        <w:t>」，聚集</w:t>
      </w:r>
      <w:r>
        <w:rPr>
          <w:kern w:val="2"/>
          <w:sz w:val="28"/>
          <w:szCs w:val="28"/>
        </w:rPr>
        <w:t xml:space="preserve"> SRAM</w:t>
      </w:r>
      <w:r>
        <w:rPr>
          <w:rFonts w:eastAsia="標楷體" w:hint="eastAsia"/>
          <w:kern w:val="2"/>
          <w:sz w:val="28"/>
          <w:szCs w:val="28"/>
          <w:lang w:val="zh-TW"/>
        </w:rPr>
        <w:t>、</w:t>
      </w:r>
      <w:r>
        <w:rPr>
          <w:kern w:val="2"/>
          <w:sz w:val="28"/>
          <w:szCs w:val="28"/>
        </w:rPr>
        <w:t xml:space="preserve"> DRAM </w:t>
      </w:r>
      <w:r>
        <w:rPr>
          <w:rFonts w:eastAsia="標楷體" w:hint="eastAsia"/>
          <w:kern w:val="2"/>
          <w:sz w:val="28"/>
          <w:szCs w:val="28"/>
          <w:lang w:val="zh-TW"/>
        </w:rPr>
        <w:t>與</w:t>
      </w:r>
      <w:r>
        <w:rPr>
          <w:kern w:val="2"/>
          <w:sz w:val="28"/>
          <w:szCs w:val="28"/>
        </w:rPr>
        <w:t xml:space="preserve"> Flash </w:t>
      </w:r>
      <w:r>
        <w:rPr>
          <w:rFonts w:eastAsia="標楷體" w:hint="eastAsia"/>
          <w:kern w:val="2"/>
          <w:sz w:val="28"/>
          <w:szCs w:val="28"/>
          <w:lang w:val="zh-TW"/>
        </w:rPr>
        <w:t>之優點，包含高速讀寫、低讀寫耗能、高耐久性、元件尺寸小、非揮發性、無漏電、及零待機耗能等。並且具有與目前製程相容、製造容易、及高可靠性等特性。</w:t>
      </w:r>
      <w:r>
        <w:rPr>
          <w:kern w:val="2"/>
          <w:sz w:val="28"/>
          <w:szCs w:val="28"/>
        </w:rPr>
        <w:t xml:space="preserve">SS-MRAM </w:t>
      </w:r>
      <w:r>
        <w:rPr>
          <w:rFonts w:eastAsia="標楷體" w:hint="eastAsia"/>
          <w:kern w:val="2"/>
          <w:sz w:val="28"/>
          <w:szCs w:val="28"/>
          <w:lang w:val="zh-TW"/>
        </w:rPr>
        <w:t>可應用於嵌入式及獨立式記憶體，主要應用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在物聯網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、微控制器、機器學習、人工智慧、能源、醫療、汽車、航太、自動化和智慧工廠等。</w:t>
      </w:r>
    </w:p>
    <w:p w:rsidR="008D5A00" w:rsidRDefault="00732240">
      <w:pPr>
        <w:widowControl w:val="0"/>
        <w:spacing w:before="120" w:line="500" w:lineRule="exact"/>
        <w:ind w:firstLine="482"/>
        <w:jc w:val="both"/>
      </w:pPr>
      <w:r>
        <w:rPr>
          <w:rFonts w:eastAsia="標楷體" w:hint="eastAsia"/>
          <w:kern w:val="2"/>
          <w:sz w:val="28"/>
          <w:szCs w:val="28"/>
          <w:lang w:val="zh-TW"/>
        </w:rPr>
        <w:t>在展覽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期間</w:t>
      </w:r>
      <w:r w:rsidRPr="00421E82">
        <w:rPr>
          <w:rFonts w:eastAsia="標楷體" w:hint="eastAsia"/>
          <w:kern w:val="2"/>
          <w:sz w:val="28"/>
          <w:szCs w:val="28"/>
        </w:rPr>
        <w:t>，</w:t>
      </w:r>
      <w:r>
        <w:rPr>
          <w:rFonts w:eastAsia="標楷體" w:hint="eastAsia"/>
          <w:kern w:val="2"/>
          <w:sz w:val="28"/>
          <w:szCs w:val="28"/>
          <w:lang w:val="zh-TW"/>
        </w:rPr>
        <w:t>科技部也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透過「</w:t>
      </w:r>
      <w:r>
        <w:rPr>
          <w:kern w:val="2"/>
          <w:sz w:val="28"/>
          <w:szCs w:val="28"/>
        </w:rPr>
        <w:t xml:space="preserve">One on One Matching </w:t>
      </w:r>
      <w:r>
        <w:rPr>
          <w:rFonts w:eastAsia="標楷體" w:hint="eastAsia"/>
          <w:kern w:val="2"/>
          <w:sz w:val="28"/>
          <w:szCs w:val="28"/>
          <w:lang w:val="zh-TW"/>
        </w:rPr>
        <w:t>商務媒合系統</w:t>
      </w:r>
      <w:r>
        <w:rPr>
          <w:kern w:val="2"/>
          <w:sz w:val="28"/>
          <w:szCs w:val="28"/>
        </w:rPr>
        <w:t>(</w:t>
      </w:r>
      <w:hyperlink r:id="rId7" w:history="1">
        <w:r>
          <w:rPr>
            <w:rStyle w:val="Hyperlink1"/>
          </w:rPr>
          <w:t>https://matching.org.tw/</w:t>
        </w:r>
      </w:hyperlink>
      <w:r>
        <w:rPr>
          <w:kern w:val="2"/>
          <w:sz w:val="28"/>
          <w:szCs w:val="28"/>
        </w:rPr>
        <w:t>)</w:t>
      </w:r>
      <w:r>
        <w:rPr>
          <w:rFonts w:eastAsia="標楷體" w:hint="eastAsia"/>
          <w:kern w:val="2"/>
          <w:sz w:val="28"/>
          <w:szCs w:val="28"/>
          <w:lang w:val="zh-TW"/>
        </w:rPr>
        <w:t>」</w:t>
      </w:r>
      <w:r w:rsidRPr="00421E82">
        <w:rPr>
          <w:rFonts w:eastAsia="標楷體" w:hint="eastAsia"/>
          <w:kern w:val="2"/>
          <w:sz w:val="28"/>
          <w:szCs w:val="28"/>
        </w:rPr>
        <w:t>，</w:t>
      </w:r>
      <w:r>
        <w:rPr>
          <w:rFonts w:eastAsia="標楷體" w:hint="eastAsia"/>
          <w:kern w:val="2"/>
          <w:sz w:val="28"/>
          <w:szCs w:val="28"/>
          <w:lang w:val="zh-TW"/>
        </w:rPr>
        <w:t>提供一對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一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精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準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媒合交流機會</w:t>
      </w:r>
      <w:r w:rsidRPr="00421E82">
        <w:rPr>
          <w:rFonts w:eastAsia="標楷體" w:hint="eastAsia"/>
          <w:kern w:val="2"/>
          <w:sz w:val="28"/>
          <w:szCs w:val="28"/>
        </w:rPr>
        <w:t>，</w:t>
      </w:r>
      <w:r>
        <w:rPr>
          <w:rFonts w:eastAsia="標楷體" w:hint="eastAsia"/>
          <w:kern w:val="2"/>
          <w:sz w:val="28"/>
          <w:szCs w:val="28"/>
          <w:lang w:val="zh-TW"/>
        </w:rPr>
        <w:t>增加團隊與廠商的媒合成功率。此外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科技部也舉辦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兩場重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磅跨域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論壇，聚焦國人近年最關注的精</w:t>
      </w:r>
      <w:proofErr w:type="gramStart"/>
      <w:r>
        <w:rPr>
          <w:rFonts w:eastAsia="標楷體" w:hint="eastAsia"/>
          <w:kern w:val="2"/>
          <w:sz w:val="28"/>
          <w:szCs w:val="28"/>
          <w:lang w:val="zh-TW"/>
        </w:rPr>
        <w:t>準</w:t>
      </w:r>
      <w:proofErr w:type="gramEnd"/>
      <w:r>
        <w:rPr>
          <w:rFonts w:eastAsia="標楷體" w:hint="eastAsia"/>
          <w:kern w:val="2"/>
          <w:sz w:val="28"/>
          <w:szCs w:val="28"/>
          <w:lang w:val="zh-TW"/>
        </w:rPr>
        <w:t>健康與</w:t>
      </w:r>
      <w:r>
        <w:rPr>
          <w:kern w:val="2"/>
          <w:sz w:val="28"/>
          <w:szCs w:val="28"/>
        </w:rPr>
        <w:t xml:space="preserve"> 6G </w:t>
      </w:r>
      <w:r>
        <w:rPr>
          <w:rFonts w:eastAsia="標楷體" w:hint="eastAsia"/>
          <w:kern w:val="2"/>
          <w:sz w:val="28"/>
          <w:szCs w:val="28"/>
          <w:lang w:val="zh-TW"/>
        </w:rPr>
        <w:t>產業議題，歡迎報名參加。立即瀏覽未來科技館精彩活動：</w:t>
      </w:r>
      <w:hyperlink r:id="rId8" w:history="1">
        <w:r>
          <w:rPr>
            <w:rStyle w:val="Hyperlink2"/>
          </w:rPr>
          <w:t>https://www.futuretech.org.tw</w:t>
        </w:r>
      </w:hyperlink>
      <w:r>
        <w:rPr>
          <w:rFonts w:eastAsia="標楷體" w:hint="eastAsia"/>
          <w:kern w:val="2"/>
          <w:sz w:val="28"/>
          <w:szCs w:val="28"/>
          <w:lang w:val="zh-TW"/>
        </w:rPr>
        <w:t>。</w:t>
      </w:r>
    </w:p>
    <w:sectPr w:rsidR="008D5A00">
      <w:headerReference w:type="default" r:id="rId9"/>
      <w:footerReference w:type="default" r:id="rId10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D5" w:rsidRDefault="00A140D5">
      <w:r>
        <w:separator/>
      </w:r>
    </w:p>
  </w:endnote>
  <w:endnote w:type="continuationSeparator" w:id="0">
    <w:p w:rsidR="00A140D5" w:rsidRDefault="00A1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00" w:rsidRDefault="008D5A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D5" w:rsidRDefault="00A140D5">
      <w:r>
        <w:separator/>
      </w:r>
    </w:p>
  </w:footnote>
  <w:footnote w:type="continuationSeparator" w:id="0">
    <w:p w:rsidR="00A140D5" w:rsidRDefault="00A1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00" w:rsidRDefault="008D5A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5A00"/>
    <w:rsid w:val="002057F1"/>
    <w:rsid w:val="00421E82"/>
    <w:rsid w:val="00732240"/>
    <w:rsid w:val="008D5A00"/>
    <w:rsid w:val="00A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Link"/>
    <w:rPr>
      <w:outline w:val="0"/>
      <w:color w:val="000000"/>
      <w:kern w:val="2"/>
      <w:sz w:val="28"/>
      <w:szCs w:val="28"/>
      <w:u w:val="single" w:color="000000"/>
      <w:lang w:val="en-US"/>
    </w:rPr>
  </w:style>
  <w:style w:type="character" w:customStyle="1" w:styleId="Hyperlink2">
    <w:name w:val="Hyperlink.2"/>
    <w:basedOn w:val="Link"/>
    <w:rPr>
      <w:rFonts w:ascii="標楷體" w:eastAsia="標楷體" w:hAnsi="標楷體" w:cs="標楷體"/>
      <w:outline w:val="0"/>
      <w:color w:val="000000"/>
      <w:sz w:val="28"/>
      <w:szCs w:val="28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Link"/>
    <w:rPr>
      <w:outline w:val="0"/>
      <w:color w:val="000000"/>
      <w:kern w:val="2"/>
      <w:sz w:val="28"/>
      <w:szCs w:val="28"/>
      <w:u w:val="single" w:color="000000"/>
      <w:lang w:val="en-US"/>
    </w:rPr>
  </w:style>
  <w:style w:type="character" w:customStyle="1" w:styleId="Hyperlink2">
    <w:name w:val="Hyperlink.2"/>
    <w:basedOn w:val="Link"/>
    <w:rPr>
      <w:rFonts w:ascii="標楷體" w:eastAsia="標楷體" w:hAnsi="標楷體" w:cs="標楷體"/>
      <w:outline w:val="0"/>
      <w:color w:val="000000"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tech.org.tw/futuretech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ching.org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高秋凌</cp:lastModifiedBy>
  <cp:revision>3</cp:revision>
  <dcterms:created xsi:type="dcterms:W3CDTF">2020-09-08T08:55:00Z</dcterms:created>
  <dcterms:modified xsi:type="dcterms:W3CDTF">2020-09-21T16:49:00Z</dcterms:modified>
</cp:coreProperties>
</file>